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EDITAL DE CHAMAMENTO PÚBLICO N.° 3/2026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CULTURA VIVA DO TAMANHO DO BRASIL!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  <w:lang w:val="pt-BR" w:eastAsia="zh-CN" w:bidi="hi-IN"/>
        </w:rPr>
        <w:t>FOMENTO A PROJETOS CONTINUADOS DE PONTOS DE CULTURA</w:t>
      </w:r>
    </w:p>
    <w:p>
      <w:pPr>
        <w:pStyle w:val="LO-normal"/>
        <w:shd w:val="clear" w:fill="FFFFFF"/>
        <w:spacing w:lineRule="auto" w:line="276" w:before="0" w:after="0"/>
        <w:jc w:val="left"/>
        <w:rPr>
          <w:rFonts w:ascii="Calibri" w:hAnsi="Calibri" w:eastAsia="Calibri" w:cs="Calibri"/>
          <w:color w:val="auto"/>
          <w:sz w:val="22"/>
          <w:szCs w:val="22"/>
        </w:rPr>
      </w:pPr>
      <w:r>
        <w:rPr>
          <w:rFonts w:eastAsia="Calibri" w:cs="Calibri" w:ascii="Calibri" w:hAnsi="Calibri"/>
          <w:color w:val="auto"/>
          <w:sz w:val="22"/>
          <w:szCs w:val="22"/>
        </w:rPr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sz w:val="22"/>
          <w:szCs w:val="22"/>
          <w:u w:val="none"/>
        </w:rPr>
        <w:t xml:space="preserve">ANEXO </w:t>
      </w:r>
      <w:r>
        <w:rPr>
          <w:rFonts w:eastAsia="Calibri" w:cs="Calibri" w:ascii="Calibri" w:hAnsi="Calibri"/>
          <w:b/>
          <w:color w:val="auto"/>
          <w:sz w:val="22"/>
          <w:szCs w:val="22"/>
          <w:u w:val="none"/>
        </w:rPr>
        <w:t>10</w:t>
      </w:r>
    </w:p>
    <w:p>
      <w:pPr>
        <w:pStyle w:val="LO-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/>
          <w:sz w:val="22"/>
          <w:szCs w:val="22"/>
          <w:u w:val="none"/>
        </w:rPr>
      </w:pPr>
      <w:r>
        <w:rPr>
          <w:rFonts w:ascii="Calibri" w:hAnsi="Calibri"/>
          <w:b/>
          <w:sz w:val="22"/>
          <w:szCs w:val="22"/>
          <w:u w:val="none"/>
        </w:rPr>
        <w:t xml:space="preserve">MINUTA DE TERMO DE COMPROMISSO CULTURAL – PONTO DE CULTURA </w:t>
      </w:r>
    </w:p>
    <w:p>
      <w:pPr>
        <w:pStyle w:val="LO-normal"/>
        <w:keepNext w:val="true"/>
        <w:spacing w:lineRule="auto" w:line="240" w:before="0" w:after="0"/>
        <w:ind w:hanging="0" w:left="0"/>
        <w:jc w:val="center"/>
        <w:rPr>
          <w:rFonts w:ascii="Calibri" w:hAnsi="Calibri"/>
          <w:color w:val="757575"/>
          <w:sz w:val="22"/>
          <w:szCs w:val="22"/>
        </w:rPr>
      </w:pPr>
      <w:r>
        <w:rPr>
          <w:rFonts w:eastAsia="Calibri" w:cs="Calibri" w:ascii="Calibri" w:hAnsi="Calibri"/>
          <w:i/>
          <w:color w:val="757575"/>
          <w:sz w:val="22"/>
          <w:szCs w:val="22"/>
        </w:rPr>
        <w:t>[</w:t>
      </w:r>
      <w:r>
        <w:rPr>
          <w:rFonts w:eastAsia="Calibri" w:cs="Calibri" w:ascii="Calibri" w:hAnsi="Calibri"/>
          <w:i/>
          <w:color w:val="757575"/>
          <w:sz w:val="22"/>
          <w:szCs w:val="22"/>
        </w:rPr>
        <w:t>Rubricar todas as páginas</w:t>
      </w:r>
      <w:r>
        <w:rPr>
          <w:rFonts w:eastAsia="Calibri" w:cs="Calibri" w:ascii="Calibri" w:hAnsi="Calibri"/>
          <w:i/>
          <w:color w:val="757575"/>
          <w:sz w:val="22"/>
          <w:szCs w:val="22"/>
        </w:rPr>
        <w:t>]</w:t>
      </w:r>
    </w:p>
    <w:p>
      <w:pPr>
        <w:pStyle w:val="LO-normal"/>
        <w:spacing w:lineRule="auto" w:line="240" w:before="120" w:after="120"/>
        <w:ind w:hanging="0" w:left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-normal"/>
        <w:spacing w:lineRule="auto" w:line="240" w:before="120" w:after="120"/>
        <w:ind w:hanging="0" w:left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TERMO DE COMPROMISSO CULTURAL n.° </w:t>
      </w:r>
      <w:r>
        <w:rPr>
          <w:rFonts w:eastAsia="Calibri" w:cs="Calibri" w:ascii="Calibri" w:hAnsi="Calibri"/>
          <w:b/>
          <w:color w:val="FF0000"/>
          <w:sz w:val="22"/>
          <w:szCs w:val="22"/>
        </w:rPr>
        <w:t>XX</w:t>
      </w:r>
      <w:r>
        <w:rPr>
          <w:rFonts w:eastAsia="Calibri" w:cs="Calibri" w:ascii="Calibri" w:hAnsi="Calibri"/>
          <w:b/>
          <w:color w:val="auto"/>
          <w:sz w:val="22"/>
          <w:szCs w:val="22"/>
        </w:rPr>
        <w:t>/202</w:t>
      </w:r>
      <w:r>
        <w:rPr>
          <w:rFonts w:eastAsia="Calibri" w:cs="Calibri" w:ascii="Calibri" w:hAnsi="Calibri"/>
          <w:b/>
          <w:color w:val="auto"/>
          <w:sz w:val="22"/>
          <w:szCs w:val="22"/>
        </w:rPr>
        <w:t>6</w:t>
      </w:r>
    </w:p>
    <w:tbl>
      <w:tblPr>
        <w:tblStyle w:val="Table1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1.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  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FINALIDADE</w:t>
            </w:r>
          </w:p>
        </w:tc>
      </w:tr>
      <w:tr>
        <w:trPr>
          <w:trHeight w:val="1635" w:hRule="atLeast"/>
        </w:trPr>
        <w:tc>
          <w:tcPr>
            <w:tcW w:w="9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-1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none"/>
                <w:lang w:val="pt-BR" w:eastAsia="zh-CN" w:bidi="hi-IN"/>
              </w:rPr>
              <w:t xml:space="preserve">A Prefeitura do Município de Piracicaba – SP, por meio da Secretaria Municipal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  <w:lang w:val="pt-BR" w:eastAsia="zh-CN" w:bidi="hi-IN"/>
              </w:rPr>
              <w:t>d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  <w:lang w:val="pt-BR" w:eastAsia="zh-CN" w:bidi="hi-IN"/>
              </w:rPr>
              <w:t>e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  <w:lang w:val="pt-B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  <w:lang w:val="pt-BR" w:eastAsia="zh-CN" w:bidi="hi-IN"/>
              </w:rPr>
              <w:t>Cultura</w:t>
            </w:r>
            <w:r>
              <w:rPr>
                <w:rFonts w:ascii="Calibri" w:hAnsi="Calibri"/>
                <w:sz w:val="22"/>
                <w:szCs w:val="22"/>
              </w:rPr>
              <w:t xml:space="preserve">, e a ENTIDADE CULTURAL </w:t>
            </w:r>
            <w:r>
              <w:rPr>
                <w:rFonts w:ascii="Calibri" w:hAnsi="Calibri"/>
                <w:color w:val="FF1744"/>
                <w:sz w:val="22"/>
                <w:szCs w:val="22"/>
              </w:rPr>
              <w:t>xxxxxxxxxxxxxxxxxxxx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celebram o presente TERMO DE COMPROMISSO CULTURAL –  TCC, com a finalidade de executar Projeto Cultural, nos termos do Plano de Trabalho anexo, para implementação da Política Nacional de Cultura Viva – PNCV, mediante as condições estipuladas em suas Cláusulas, nos termos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hyperlink r:id="rId2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Lei n.° 14.399/2022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(Política Nacional Aldir Blanc), no</w:t>
            </w:r>
            <w:hyperlink r:id="rId3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 </w:t>
              </w:r>
            </w:hyperlink>
            <w:hyperlink r:id="rId4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Decreto n.° 11.740/2023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hyperlink r:id="rId5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Portaria MinC n.° 200/2025</w:t>
              </w:r>
            </w:hyperlink>
            <w:hyperlink r:id="rId6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, </w:t>
              </w:r>
            </w:hyperlink>
            <w:hyperlink r:id="rId7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Portaria MinC n.° 206/2025</w:t>
              </w:r>
            </w:hyperlink>
            <w:hyperlink r:id="rId8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 </w:t>
              </w:r>
            </w:hyperlink>
            <w:r>
              <w:rPr>
                <w:rFonts w:ascii="Calibri" w:hAnsi="Calibri"/>
                <w:sz w:val="22"/>
                <w:szCs w:val="22"/>
              </w:rPr>
              <w:t>(Regulamentam a PNAB), na</w:t>
            </w:r>
            <w:hyperlink r:id="rId9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 </w:t>
              </w:r>
            </w:hyperlink>
            <w:hyperlink r:id="rId10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Lei n.° 13.018/2014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(Política Nacional de Cultura Viva), na</w:t>
            </w:r>
            <w:hyperlink r:id="rId11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 </w:t>
              </w:r>
            </w:hyperlink>
            <w:hyperlink r:id="rId12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Instrução Normativa MinC n.° 1/2015</w:t>
              </w:r>
            </w:hyperlink>
            <w:r>
              <w:rPr>
                <w:rFonts w:ascii="Calibri" w:hAnsi="Calibri"/>
                <w:sz w:val="22"/>
                <w:szCs w:val="22"/>
              </w:rPr>
              <w:t>, e na</w:t>
            </w:r>
            <w:hyperlink r:id="rId13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 </w:t>
              </w:r>
            </w:hyperlink>
            <w:hyperlink r:id="rId14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Instrução Normativa MINC n.° 12/2024</w:t>
              </w:r>
            </w:hyperlink>
            <w:r>
              <w:rPr>
                <w:rFonts w:ascii="Calibri" w:hAnsi="Calibri"/>
                <w:sz w:val="22"/>
                <w:szCs w:val="22"/>
              </w:rPr>
              <w:t>, ou em ato normativo correspondente em vigor (Regulamentam a PNCV),  aplicando-se também, no que couber, como complementação em situações não previstas na  Política Nacional de Cultura Viva, o</w:t>
            </w:r>
            <w:hyperlink r:id="rId15">
              <w:r>
                <w:rPr>
                  <w:rStyle w:val="Style3"/>
                  <w:rFonts w:ascii="Calibri" w:hAnsi="Calibri"/>
                  <w:sz w:val="22"/>
                  <w:szCs w:val="22"/>
                </w:rPr>
                <w:t xml:space="preserve"> </w:t>
              </w:r>
            </w:hyperlink>
            <w:hyperlink r:id="rId16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Decreto n.° 11.453/2023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(Decreto de Fomento) e o </w:t>
            </w:r>
            <w:hyperlink r:id="rId17">
              <w:r>
                <w:rPr>
                  <w:rStyle w:val="Style3"/>
                  <w:rFonts w:ascii="Calibri" w:hAnsi="Calibri"/>
                  <w:sz w:val="22"/>
                  <w:szCs w:val="22"/>
                  <w:u w:val="single"/>
                </w:rPr>
                <w:t>Marco Regulatório do Fomento à Cultura n.° 14.903/2024</w:t>
              </w:r>
            </w:hyperlink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>
      <w:pPr>
        <w:pStyle w:val="LO-normal"/>
        <w:spacing w:lineRule="auto" w:line="240" w:before="120" w:after="120"/>
        <w:ind w:hanging="0" w:left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2"/>
        <w:tblW w:w="9972" w:type="dxa"/>
        <w:jc w:val="left"/>
        <w:tblInd w:w="105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3130"/>
        <w:gridCol w:w="1849"/>
        <w:gridCol w:w="1506"/>
        <w:gridCol w:w="3486"/>
      </w:tblGrid>
      <w:tr>
        <w:trPr>
          <w:trHeight w:val="525" w:hRule="atLeast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  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IDENTIFICAÇÃO DAS PARTES</w:t>
            </w:r>
          </w:p>
        </w:tc>
      </w:tr>
      <w:tr>
        <w:trPr>
          <w:trHeight w:val="525" w:hRule="atLeast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2.1. ENTE PÚBLICO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Razão Social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Prefeitura de Piracicaba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CNPJ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4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6.341.038/0001-29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Endereço completo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Rua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color w:val="474747"/>
                <w:spacing w:val="0"/>
                <w:sz w:val="22"/>
                <w:szCs w:val="22"/>
              </w:rPr>
              <w:t>Antônio Corrêa Barbosa, n.° 2233, Chácara Nazaré, Piracicaba/SP, CEP 13400-810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 do responsável legal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Carlos Alberto Lordello Beltrame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Cargo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Secretário Municipal de Cultura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Registro Geral (RG)</w:t>
            </w:r>
          </w:p>
        </w:tc>
        <w:tc>
          <w:tcPr>
            <w:tcW w:w="1849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shadow w:val="false"/>
                <w:sz w:val="22"/>
                <w:szCs w:val="22"/>
              </w:rPr>
              <w:t>13.652.703-6</w:t>
            </w:r>
          </w:p>
        </w:tc>
        <w:tc>
          <w:tcPr>
            <w:tcW w:w="1506" w:type="dxa"/>
            <w:tcBorders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</w:t>
            </w:r>
          </w:p>
        </w:tc>
        <w:tc>
          <w:tcPr>
            <w:tcW w:w="348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 w:val="false"/>
                <w:bCs w:val="false"/>
                <w:shadow w:val="false"/>
                <w:sz w:val="22"/>
                <w:szCs w:val="22"/>
              </w:rPr>
              <w:t>017.217.888-67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Ato de nomeação</w:t>
            </w:r>
          </w:p>
        </w:tc>
        <w:tc>
          <w:tcPr>
            <w:tcW w:w="6841" w:type="dxa"/>
            <w:gridSpan w:val="3"/>
            <w:tcBorders>
              <w:bottom w:val="single" w:sz="4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</w:rPr>
              <w:t>rt. 1º do Decreto n.</w:t>
            </w:r>
            <w:r>
              <w:rPr>
                <w:rFonts w:eastAsia="Calibri" w:cs="Calibri" w:ascii="Calibri" w:hAnsi="Calibri"/>
              </w:rPr>
              <w:t>°</w:t>
            </w:r>
            <w:r>
              <w:rPr>
                <w:rFonts w:eastAsia="Calibri" w:cs="Calibri" w:ascii="Calibri" w:hAnsi="Calibri"/>
              </w:rPr>
              <w:t xml:space="preserve"> 20.289, de 6 de janeiro de 2025 </w:t>
            </w:r>
          </w:p>
        </w:tc>
      </w:tr>
      <w:tr>
        <w:trPr>
          <w:trHeight w:val="525" w:hRule="atLeast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2.2. ENTIDADE CULTURAL</w:t>
            </w:r>
          </w:p>
        </w:tc>
      </w:tr>
      <w:tr>
        <w:trPr>
          <w:trHeight w:val="663" w:hRule="atLeast"/>
        </w:trPr>
        <w:tc>
          <w:tcPr>
            <w:tcW w:w="31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Razão Social</w:t>
            </w:r>
          </w:p>
        </w:tc>
        <w:tc>
          <w:tcPr>
            <w:tcW w:w="6841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CNPJ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Endereço completo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 do responsável legal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Cargo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Registro Geral (RG)</w:t>
            </w:r>
          </w:p>
        </w:tc>
        <w:tc>
          <w:tcPr>
            <w:tcW w:w="1849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06" w:type="dxa"/>
            <w:tcBorders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</w:t>
            </w:r>
          </w:p>
        </w:tc>
        <w:tc>
          <w:tcPr>
            <w:tcW w:w="3486" w:type="dxa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795" w:hRule="atLeast"/>
        </w:trPr>
        <w:tc>
          <w:tcPr>
            <w:tcW w:w="3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Endereço completo do responsável legal</w:t>
            </w:r>
          </w:p>
        </w:tc>
        <w:tc>
          <w:tcPr>
            <w:tcW w:w="6841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-normal"/>
        <w:spacing w:lineRule="auto" w:line="240" w:before="120" w:after="120"/>
        <w:ind w:hanging="0" w:left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              </w:t>
      </w:r>
      <w:r>
        <w:rPr>
          <w:rFonts w:eastAsia="Calibri" w:cs="Calibri" w:ascii="Calibri" w:hAnsi="Calibri"/>
          <w:sz w:val="22"/>
          <w:szCs w:val="22"/>
        </w:rPr>
        <w:tab/>
      </w:r>
    </w:p>
    <w:tbl>
      <w:tblPr>
        <w:tblStyle w:val="Table3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  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OBJETO</w:t>
            </w:r>
          </w:p>
        </w:tc>
      </w:tr>
      <w:tr>
        <w:trPr>
          <w:trHeight w:val="1080" w:hRule="atLeast"/>
        </w:trPr>
        <w:tc>
          <w:tcPr>
            <w:tcW w:w="9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3.1.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O presente Termo de Compromisso Cultural – TCC tem como objeto</w:t>
            </w:r>
            <w:r>
              <w:rPr>
                <w:rFonts w:ascii="Calibri" w:hAnsi="Calibri"/>
                <w:sz w:val="22"/>
                <w:szCs w:val="22"/>
              </w:rPr>
              <w:t xml:space="preserve"> a execução de projeto selecionado no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Edital de Chamamento Público n.°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/202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Fomento a Projetos Continuados de Pontos de Cultura de Piracicaba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highlight w:val="white"/>
              </w:rPr>
              <w:t>que visa a promoção do acesso da população aos bens e aos serviços culturais nos territórios e comunidades onde atuam, nos termos da Política Nacional de Cultura Viva – PNCV, conforme Plano de Trabalho anexo.</w:t>
            </w:r>
          </w:p>
        </w:tc>
      </w:tr>
    </w:tbl>
    <w:p>
      <w:pPr>
        <w:pStyle w:val="LO-normal"/>
        <w:ind w:hanging="0" w:left="0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              </w:t>
      </w:r>
      <w:r>
        <w:rPr>
          <w:rFonts w:eastAsia="Calibri" w:cs="Calibri" w:ascii="Calibri" w:hAnsi="Calibri"/>
          <w:sz w:val="22"/>
          <w:szCs w:val="22"/>
        </w:rPr>
        <w:tab/>
        <w:t xml:space="preserve">                                                 </w:t>
        <w:tab/>
      </w:r>
    </w:p>
    <w:tbl>
      <w:tblPr>
        <w:tblStyle w:val="Table4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4.       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OBRIGAÇÕES DAS PARTES</w:t>
            </w:r>
          </w:p>
        </w:tc>
      </w:tr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.1.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 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Da Se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cretaria Municipal de Cultura de Piracicaba</w:t>
            </w:r>
          </w:p>
        </w:tc>
      </w:tr>
      <w:tr>
        <w:trPr>
          <w:trHeight w:val="699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Incumbe </w:t>
            </w:r>
            <w:r>
              <w:rPr>
                <w:rFonts w:ascii="Calibri" w:hAnsi="Calibri"/>
                <w:sz w:val="22"/>
                <w:szCs w:val="22"/>
              </w:rPr>
              <w:t xml:space="preserve">à 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2"/>
                <w:szCs w:val="22"/>
              </w:rPr>
              <w:t>Se</w:t>
            </w:r>
            <w:r>
              <w:rPr>
                <w:rFonts w:eastAsia="Calibri" w:cs="Calibri" w:ascii="Calibri" w:hAnsi="Calibri"/>
                <w:b w:val="false"/>
                <w:bCs w:val="false"/>
                <w:color w:val="auto"/>
                <w:sz w:val="22"/>
                <w:szCs w:val="22"/>
              </w:rPr>
              <w:t>cretaria Municipal de Cultura de Piracicaba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observar as obrigações descritas na </w:t>
            </w:r>
            <w:r>
              <w:rPr>
                <w:rFonts w:ascii="Calibri" w:hAnsi="Calibri"/>
                <w:sz w:val="22"/>
                <w:szCs w:val="22"/>
              </w:rPr>
              <w:t>legislação de regência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e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as seguintes responsabilidades: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 - coordenar a gestão da PNCV, no âmbito de sua esfera de atuação;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II - atuar em parceria federativa junto ao governo federal, governos estaduais, do Distrito Federal e municipais, e outras instituições, para efetivação dos objetivos da PNCV previstos em lei;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III - realizar planejamento de desenvolvimento da PNCV, observando o P</w:t>
            </w:r>
            <w:r>
              <w:rPr>
                <w:rFonts w:ascii="Calibri" w:hAnsi="Calibri"/>
                <w:sz w:val="22"/>
                <w:szCs w:val="22"/>
              </w:rPr>
              <w:t>lano Nacional de Cultura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 planos de cultura locais;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IV - garantir recursos humanos, orçamentários, financeiros, logísticos e tecnológicos para implementação da PNCV e efetividade de seus resultados;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VI - desenvolver as ações estruturantes da PNCV por meio de políticas públicas integradas visando a promoção em uma cultura de direitos humanos e de valorização da cidadania e da diversidade artística e cultural;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VII - disponibilizar e manter em funcionamento o Cadastro Nacional dos </w:t>
            </w:r>
            <w:r>
              <w:rPr>
                <w:rFonts w:ascii="Calibri" w:hAnsi="Calibri"/>
                <w:sz w:val="22"/>
                <w:szCs w:val="22"/>
              </w:rPr>
              <w:t>Pontos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 Pontões de Cultura, no âmbito de sua esfera de atuação;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VIII - fomentar ações para qualificação e formação de gestores, dirigentes de entidades culturais e outros agentes envolvidos no âmbito da PNCV;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IX - dar ciência da celebração de parcerias federativas, no que couber, aos conselhos de cultura, assembleias legislativas e câmaras municipais de vereadores para efeitos de acompanhamento e fiscalização;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 - promover ações de publicidade da PNCV que proporcionem controle social, transparência pública e visibilidade das ações junto à sociedade;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 - contribuir para o fortalecimento da atuação em redes territoriais, identitárias e temáticas no âmbito da PNCV;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XII - realizar os atos e os procedimentos relativos à formalização, execução, acompanhamento e análise da prestação de contas do presente TCC;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XIII - realizar os procedimentos relativos à Tomada de Contas Especial, quando for o caso;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XIV - cumprir com os procedimentos de transparência e publicidade atribuídos ao poder público conforme o disposto na Seção III da IN MinC n.° 08 de 11 de maio de 2016;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XV - repassar os recursos financeiros ao PONT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DE CULTURA, de acordo com a programação orçamentária e financeira do ente público, obedecendo ao cronograma financeiro constante deste instrumento e do plano de trabalho;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XVI - prorrogar “de ofício” o prazo de vigência do TCC antes do seu término, quando der causa ao atraso na liberação dos recursos, limitada </w:t>
            </w:r>
            <w:r>
              <w:rPr>
                <w:rFonts w:ascii="Calibri" w:hAnsi="Calibri"/>
                <w:sz w:val="22"/>
                <w:szCs w:val="22"/>
              </w:rPr>
              <w:t>à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prorrogação ao exato período do atraso verificado;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XVII - aplicar as penalidades previstas e proceder às ações administrativas necessárias à exigência da restituição dos recursos transferidos;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XVIII - comunicar aos </w:t>
            </w:r>
            <w:r>
              <w:rPr>
                <w:rFonts w:ascii="Calibri" w:hAnsi="Calibri"/>
                <w:sz w:val="22"/>
                <w:szCs w:val="22"/>
              </w:rPr>
              <w:t>Pontos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XIX - analisar a prestação de contas dos recursos aplicados na consecução do objeto deste TCC, na forma e prazo fixados no Dec</w:t>
            </w:r>
            <w:r>
              <w:rPr>
                <w:rFonts w:ascii="Calibri" w:hAnsi="Calibri"/>
                <w:sz w:val="22"/>
                <w:szCs w:val="22"/>
              </w:rPr>
              <w:t>reto n.° 11.453/2023 e no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art. 47 da IN MinC n.° 08</w:t>
            </w:r>
            <w:r>
              <w:rPr>
                <w:rFonts w:ascii="Calibri" w:hAnsi="Calibri"/>
                <w:sz w:val="22"/>
                <w:szCs w:val="22"/>
              </w:rPr>
              <w:t>/2016;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XX - nos casos em que o PONT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>
            <w:pPr>
              <w:pStyle w:val="normal1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tabs>
                <w:tab w:val="clear" w:pos="720"/>
                <w:tab w:val="left" w:pos="855" w:leader="none"/>
              </w:tabs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.2.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Da Entidade Cultural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Incumbe à Entidade Cultural observar as obrigações descritas na </w:t>
            </w:r>
            <w:r>
              <w:rPr>
                <w:rFonts w:ascii="Calibri" w:hAnsi="Calibri"/>
                <w:sz w:val="22"/>
                <w:szCs w:val="22"/>
              </w:rPr>
              <w:t>legislação de regência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e, ainda, as seguintes responsabilidades: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 - executar o projeto conforme Plano de Trabalho aprovado e produzir provas documentais sobre o andamento da execução do projeto, inclusive das alterações no Plano de Trabalho;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II - cumprir com os procedimentos de transparência e publicidade atribuídos à entidade cultural conforme o disposto no Capítulo IV,  Seção III da IN MinC n.° 08 de 11 de maio de 2016;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III - divulgar, em destaque, o nome do Ministério da Cultura/Governo Federal,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do Sistema Nacional de Cultura (SNC)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IV - desenvolver uma gestão compartilhada e participativa, por meio de instâncias, fóruns e espaços de diálogos junto aos beneficiários em sua área de abrangência;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VI - estimular a participação ativa dos beneficiários da PNCV nos processos participativos instituídos no SNC e na PNCV em âmbito local, regional e nacional;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VII - contribuir com a organização e funcionamento da Rede Cultura Viva e de suas instâncias, mecanismos e processos de gestão compartilhada, participação e controle social;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VIII - manter seus dados cadastrais atualizados no Cadastro Nacional de Pontos e Pontões de Cultura, atendendo à chamada anual de atualização de dados;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IX - dar transparência aos valores pagos a título de remuneração de sua equipe de trabalho vinculada à execução do TCC, em sua sede e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no seu sítio eletrônico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n.° 8/2016, bem como aos locais de execução do objeto;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 - a responsabilidade exclusiva pelo gerenciamento administrativo e financeiro dos recursos recebidos</w:t>
            </w:r>
            <w:r>
              <w:rPr>
                <w:rFonts w:ascii="Calibri" w:hAnsi="Calibri"/>
                <w:sz w:val="22"/>
                <w:szCs w:val="22"/>
              </w:rPr>
              <w:t xml:space="preserve">; 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XIII - prestar contas dos recursos recebidos, conforme acordado neste Termo e  na forma dos atos normativos que se relacionam com o tema;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XIV - guardar os documentos originais de comprovação do cumprimento do objeto pelo prazo de </w:t>
            </w:r>
            <w:r>
              <w:rPr>
                <w:rFonts w:ascii="Calibri" w:hAnsi="Calibri"/>
                <w:sz w:val="22"/>
                <w:szCs w:val="22"/>
              </w:rPr>
              <w:t xml:space="preserve">cinco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>
              <w:rPr>
                <w:rFonts w:ascii="Calibri" w:hAnsi="Calibri"/>
                <w:sz w:val="22"/>
                <w:szCs w:val="22"/>
              </w:rPr>
              <w:t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; e</w:t>
            </w:r>
          </w:p>
          <w:p>
            <w:pPr>
              <w:pStyle w:val="normal1"/>
              <w:numPr>
                <w:ilvl w:val="0"/>
                <w:numId w:val="1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XV - 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5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DOS VALORES</w:t>
            </w:r>
          </w:p>
        </w:tc>
      </w:tr>
      <w:tr>
        <w:trPr>
          <w:trHeight w:val="139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 xml:space="preserve">Para execução das atividades previstas no Plano de Trabalho deste TCC, serão disponibilizados pelo Ente Público recursos no valor total de R$ 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>120.000,00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 xml:space="preserve"> (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>cento e vinte mil reais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 xml:space="preserve">),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em parcela única, de acordo com o Cronograma de Desembolso constante do Plano de Trabalho, correspondente à Nota de Empenho 202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6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NE</w:t>
            </w: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  <w:t>XXXX, de XX/XX/202</w:t>
            </w: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  <w:t>6</w:t>
            </w: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5.1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 movimentação dos recursos financeiros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Os recursos referentes ao presente Termo de Compromisso Cultural, a serem desembolsados pelo Ente Público, serão depositados e geridos em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 xml:space="preserve">conta específica de instituição financeira </w:t>
            </w: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  <w:t>pública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, na </w:t>
            </w: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  <w:t xml:space="preserve">Banco XXXX – Agência XXXX – </w:t>
            </w: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  <w:t>Conta Corrente XXXXXX</w:t>
            </w:r>
            <w:r>
              <w:rPr>
                <w:rFonts w:eastAsia="Calibri" w:cs="Calibri" w:ascii="Calibri" w:hAnsi="Calibri"/>
                <w:color w:val="FF0000"/>
                <w:sz w:val="22"/>
                <w:szCs w:val="22"/>
              </w:rPr>
              <w:t>, na cidade Piracicaba – São Paulo,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em conformidade com os prazos estabelecidos no Cronograma Financeiro constante do Plano de Trabalho.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5.1.1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Os recursos depositados nesta conta bancária específica, enquanto não empregados na sua finalidade, serão obrigatoriamente aplicados:</w:t>
            </w:r>
          </w:p>
          <w:p>
            <w:pPr>
              <w:pStyle w:val="LO-normal"/>
              <w:numPr>
                <w:ilvl w:val="0"/>
                <w:numId w:val="2"/>
              </w:numPr>
              <w:tabs>
                <w:tab w:val="clear" w:pos="720"/>
                <w:tab w:val="left" w:pos="563" w:leader="none"/>
              </w:tabs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em caderneta de poupança, ou</w:t>
            </w:r>
          </w:p>
          <w:p>
            <w:pPr>
              <w:pStyle w:val="LO-normal"/>
              <w:numPr>
                <w:ilvl w:val="0"/>
                <w:numId w:val="2"/>
              </w:numPr>
              <w:tabs>
                <w:tab w:val="clear" w:pos="720"/>
                <w:tab w:val="left" w:pos="563" w:leader="none"/>
              </w:tabs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em fundo de aplicação financeira de curto prazo ou operação de mercado aberto lastreada em título da dívida pública.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5.1.2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Os recursos dest</w:t>
            </w:r>
            <w:r>
              <w:rPr>
                <w:rFonts w:ascii="Calibri" w:hAnsi="Calibri"/>
                <w:sz w:val="22"/>
                <w:szCs w:val="22"/>
              </w:rPr>
              <w:t>e Termo de Compromisso Cultural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DE CULTURA.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5.1.3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Os rendimentos de aplicações financeiras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deverão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5.1.4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 uso de rendimentos para as finalidades descritas </w:t>
            </w:r>
            <w:r>
              <w:rPr>
                <w:rFonts w:ascii="Calibri" w:hAnsi="Calibri"/>
                <w:sz w:val="22"/>
                <w:szCs w:val="22"/>
              </w:rPr>
              <w:t>no item 5.1.3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5.1.5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 remanejamento de recurso no plano de trabalho poderá ocorrer desde que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esteja de acordo com o item 7.3 do Edital.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5.1.6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Após a conclusão, rescisão ou extinção d</w:t>
            </w:r>
            <w:r>
              <w:rPr>
                <w:rFonts w:ascii="Calibri" w:hAnsi="Calibri"/>
                <w:sz w:val="22"/>
                <w:szCs w:val="22"/>
              </w:rPr>
              <w:t>este TCC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, os saldos financeiros remanescentes, inclusive os provenientes das receitas obtidas das aplicações financeiras realizadas, deverão ser devolvidos pelo </w:t>
            </w:r>
            <w:r>
              <w:rPr>
                <w:rFonts w:ascii="Calibri" w:hAnsi="Calibri"/>
                <w:sz w:val="22"/>
                <w:szCs w:val="22"/>
              </w:rPr>
              <w:t xml:space="preserve">PONTO DE CULTURA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ao Ente Público, no prazo de trinta dias,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e para isso, deverá ser solicitada orientação da Secretaria Municipal de Cultura de Piracicaba.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6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 ACOMPANHAMENTO E AVALIAÇÃO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6.1. 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;sans-serif" w:hAnsi="Calibri;sans-serif"/>
                <w:b w:val="false"/>
                <w:bCs w:val="false"/>
                <w:color w:val="auto"/>
                <w:sz w:val="22"/>
              </w:rPr>
              <w:t xml:space="preserve">Secretaria Municipal de Cultura de Piracicaba </w:t>
            </w:r>
            <w:r>
              <w:rPr>
                <w:rFonts w:eastAsia="Calibri" w:cs="Calibri" w:ascii="Calibri;sans-serif" w:hAnsi="Calibri;sans-serif"/>
                <w:b w:val="false"/>
                <w:bCs w:val="false"/>
                <w:color w:val="auto"/>
                <w:sz w:val="22"/>
              </w:rPr>
              <w:t>r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ealizar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á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o acompanhamento e a avaliação da execução</w:t>
            </w:r>
            <w:r>
              <w:rPr>
                <w:rFonts w:eastAsia="Calibri" w:cs="Calibri"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deste TCC, periodicamente, durante a vigência da parceria, com vistas a promover o levantamento de dados para subsidiar a avaliação da prestação de contas podendo, para tanto,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poderá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:</w:t>
            </w:r>
          </w:p>
          <w:p>
            <w:pPr>
              <w:pStyle w:val="LO-normal"/>
              <w:numPr>
                <w:ilvl w:val="0"/>
                <w:numId w:val="3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exigir informações técnicas (incluindo relatório fotográfico), prestações de contas parciais e/ou final a qualquer momento;</w:t>
            </w:r>
          </w:p>
          <w:p>
            <w:pPr>
              <w:pStyle w:val="LO-normal"/>
              <w:numPr>
                <w:ilvl w:val="0"/>
                <w:numId w:val="3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exigir o registro, nos sistemas institucionais indicados pelo Ministério da Cultura, das atividades provenientes da execução do TCC;</w:t>
            </w:r>
          </w:p>
          <w:p>
            <w:pPr>
              <w:pStyle w:val="LO-normal"/>
              <w:numPr>
                <w:ilvl w:val="0"/>
                <w:numId w:val="3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usar os diversos canais eletrônicos de comunicação e divulgação absorvendo informações sobre a execução do TCC e adotando providências necessárias, quando for o caso;</w:t>
            </w:r>
          </w:p>
          <w:p>
            <w:pPr>
              <w:pStyle w:val="LO-normal"/>
              <w:numPr>
                <w:ilvl w:val="0"/>
                <w:numId w:val="3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fazer vistoria in loco (</w:t>
            </w:r>
            <w:r>
              <w:rPr>
                <w:rFonts w:ascii="Calibri" w:hAnsi="Calibri"/>
                <w:sz w:val="22"/>
                <w:szCs w:val="22"/>
              </w:rPr>
              <w:t>vistoria no local)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;</w:t>
            </w:r>
          </w:p>
          <w:p>
            <w:pPr>
              <w:pStyle w:val="LO-normal"/>
              <w:numPr>
                <w:ilvl w:val="0"/>
                <w:numId w:val="3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utilizar apoio técnico de terceiros, delegar competência ou firmar parcerias com órgãos ou entidades.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6.2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;sans-serif" w:hAnsi="Calibri;sans-serif"/>
                <w:b w:val="false"/>
                <w:bCs w:val="false"/>
                <w:color w:val="auto"/>
                <w:sz w:val="22"/>
                <w:szCs w:val="22"/>
              </w:rPr>
              <w:t>Secretaria Municipal de Cultura de Piracicaba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6.3 Os TCCs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estarão também </w:t>
            </w:r>
            <w:r>
              <w:rPr>
                <w:rFonts w:ascii="Calibri" w:hAnsi="Calibri"/>
                <w:sz w:val="22"/>
                <w:szCs w:val="22"/>
              </w:rPr>
              <w:t>sujeitos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7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 PRESTAÇÃO DE CONTAS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 prestação de contas será apresentada por meio do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>Relatório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>s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 xml:space="preserve"> de Execução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 xml:space="preserve">Parcial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>(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  <w:u w:val="none"/>
                <w:shd w:fill="auto" w:val="clear"/>
              </w:rPr>
              <w:t>enviado na metade da vigência do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  <w:u w:val="none"/>
              </w:rPr>
              <w:t xml:space="preserve"> TCC)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 xml:space="preserve">e Final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 xml:space="preserve">do Objeto 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>conforme item 1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>6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 xml:space="preserve"> do Edital</w:t>
            </w:r>
            <w:r>
              <w:rPr>
                <w:rFonts w:eastAsia="Calibri" w:cs="Calibri" w:ascii="Calibri" w:hAnsi="Calibri"/>
                <w:sz w:val="22"/>
                <w:szCs w:val="22"/>
                <w:u w:val="none"/>
              </w:rPr>
              <w:t xml:space="preserve">,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contendo:</w:t>
            </w:r>
          </w:p>
          <w:p>
            <w:pPr>
              <w:pStyle w:val="LO-normal"/>
              <w:numPr>
                <w:ilvl w:val="0"/>
                <w:numId w:val="4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>
            <w:pPr>
              <w:pStyle w:val="LO-normal"/>
              <w:numPr>
                <w:ilvl w:val="0"/>
                <w:numId w:val="4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>
            <w:pPr>
              <w:pStyle w:val="LO-normal"/>
              <w:numPr>
                <w:ilvl w:val="0"/>
                <w:numId w:val="4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material que comprove a execução de cada item de despesa e a consecução de cada uma das metas (fotos, listas de presença, vídeos, entre outros) descrito no Plano de Trabalho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7.2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Os documentos originais de comprovação do cumprimento do objeto deverão ser guardados pelo PONT</w:t>
            </w:r>
            <w:r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DE CULTURA pelo prazo de </w:t>
            </w:r>
            <w:r>
              <w:rPr>
                <w:rFonts w:ascii="Calibri" w:hAnsi="Calibri"/>
                <w:sz w:val="22"/>
                <w:szCs w:val="22"/>
              </w:rPr>
              <w:t>cinco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anos após a entrega da prestação de contas.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7.3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 prazo de apresentação do Relatório de Execução do Objeto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não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poderá ser prorrogado.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7.4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Caso o Ente Público verifique que houve inadequação na execução do objeto, o</w:t>
            </w:r>
            <w:r>
              <w:rPr>
                <w:rFonts w:ascii="Calibri" w:hAnsi="Calibri"/>
                <w:sz w:val="22"/>
                <w:szCs w:val="22"/>
              </w:rPr>
              <w:t xml:space="preserve"> PONTO DE CULTURA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será notificado para apresentar Relatório de Execução Financeiro, no prazo de trinta dias, contendo:</w:t>
            </w:r>
          </w:p>
          <w:p>
            <w:pPr>
              <w:pStyle w:val="LO-normal"/>
              <w:numPr>
                <w:ilvl w:val="0"/>
                <w:numId w:val="5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relação de pagamentos, com indicação dos beneficiários desses pagamentos e identificação do item de despesa e meta relacionados a cada pagamento;</w:t>
            </w:r>
          </w:p>
          <w:p>
            <w:pPr>
              <w:pStyle w:val="LO-normal"/>
              <w:numPr>
                <w:ilvl w:val="0"/>
                <w:numId w:val="5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extrato bancário da conta do TCC, incluindo toda a movimentação desde a abertura até a última movimentação, e conciliação bancária; e</w:t>
            </w:r>
          </w:p>
          <w:p>
            <w:pPr>
              <w:pStyle w:val="LO-normal"/>
              <w:numPr>
                <w:ilvl w:val="0"/>
                <w:numId w:val="5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comprovante de recolhimento do saldo remanescente de recursos, quando houver.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7.5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 Ente Público considerará que houve inadequação na execução do objeto quando configurada uma das seguintes hipóteses:</w:t>
            </w:r>
          </w:p>
          <w:p>
            <w:pPr>
              <w:pStyle w:val="LO-normal"/>
              <w:numPr>
                <w:ilvl w:val="0"/>
                <w:numId w:val="6"/>
              </w:numPr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quando for identificado o descumprimento injustificado do alcance das metas; ou</w:t>
            </w:r>
          </w:p>
          <w:p>
            <w:pPr>
              <w:pStyle w:val="LO-normal"/>
              <w:numPr>
                <w:ilvl w:val="0"/>
                <w:numId w:val="6"/>
              </w:numPr>
              <w:spacing w:lineRule="auto" w:line="240" w:before="120" w:after="120"/>
              <w:ind w:hanging="0"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quando for aceita denúncia de irregularidade, mediante juízo de admissibilidade realizado pelo Ente Público.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8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DOS BENS REMANESCENTES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8.2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8.3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Caso a prestação de contas final seja rejeitada, a titularidade dos bens remanescentes permanecerá com a Entidade Cultural, observados os seguintes procedimentos:</w:t>
            </w:r>
          </w:p>
          <w:p>
            <w:pPr>
              <w:pStyle w:val="LO-normal"/>
              <w:numPr>
                <w:ilvl w:val="0"/>
                <w:numId w:val="7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não será exigido ressarcimento do valor relativo ao bem adquirido quando a motivação da rejeição não estiver relacionada ao seu uso ou aquisição; ou</w:t>
            </w:r>
          </w:p>
          <w:p>
            <w:pPr>
              <w:pStyle w:val="LO-normal"/>
              <w:numPr>
                <w:ilvl w:val="0"/>
                <w:numId w:val="7"/>
              </w:numPr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o valor pelo qual o bem remanescente foi adquirido deverá ser computado no cálculo do dano ao erário a ser ressarcido, quando a motivação da rejeição estiver relacionada ao seu uso ou aquisição. 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8.4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Na hipótese de dissolução da Entidade Cultural durante a vigência </w:t>
            </w:r>
            <w:r>
              <w:rPr>
                <w:rFonts w:ascii="Calibri" w:hAnsi="Calibri"/>
                <w:sz w:val="22"/>
                <w:szCs w:val="22"/>
              </w:rPr>
              <w:t>do TCC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, o valor pelo qual os bens remanescentes foram adquiridos deverá ser computado no cálculo do valor a ser ressarcido.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8.5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8.6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8.7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 destinação dos bens remanescentes poderá ser alterada por meio da celebração de Termo Aditivo</w:t>
            </w:r>
            <w:r>
              <w:rPr>
                <w:rFonts w:ascii="Calibri" w:hAnsi="Calibri"/>
                <w:sz w:val="22"/>
                <w:szCs w:val="22"/>
              </w:rPr>
              <w:t xml:space="preserve"> ao TCC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, após solicitação fundamentada de uma das partes.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8.8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9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DA PROPRIEDADE INTELECTUAL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Caso as atividades realizadas pela ENTIDADE CULTURAL com recursos públicos provenientes do Termo de C</w:t>
            </w:r>
            <w:r>
              <w:rPr>
                <w:rFonts w:ascii="Calibri" w:hAnsi="Calibri"/>
                <w:sz w:val="22"/>
                <w:szCs w:val="22"/>
              </w:rPr>
              <w:t>ompromisso Cultural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>
              <w:rPr>
                <w:rFonts w:ascii="Calibri" w:hAnsi="Calibri"/>
                <w:sz w:val="22"/>
                <w:szCs w:val="22"/>
              </w:rPr>
              <w:t>o Termo de Compromisso Cultural.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9.2.1 Quanto aos direitos de que trata a Lei Nacional n.° 9.279/1996, pelo uso de produto objeto de patente, processo ou produto obtido diretamente por processo patenteado, desenho industrial, indicação geográfica e marcas;</w:t>
            </w:r>
          </w:p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9.2.2 Quanto aos direitos de que trata a Lei Nacional n.° 9.610/1998, pelas seguintes modalidades:</w:t>
            </w:r>
          </w:p>
          <w:p>
            <w:pPr>
              <w:pStyle w:val="LO-normal"/>
              <w:keepNext w:val="false"/>
              <w:keepLines w:val="false"/>
              <w:widowControl/>
              <w:numPr>
                <w:ilvl w:val="0"/>
                <w:numId w:val="8"/>
              </w:numPr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reprodução parcial ou integral, para fins de divulgação;</w:t>
            </w:r>
          </w:p>
          <w:p>
            <w:pPr>
              <w:pStyle w:val="LO-normal"/>
              <w:keepNext w:val="false"/>
              <w:keepLines w:val="false"/>
              <w:widowControl/>
              <w:numPr>
                <w:ilvl w:val="0"/>
                <w:numId w:val="8"/>
              </w:numPr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tradução para qualquer idioma;</w:t>
            </w:r>
          </w:p>
          <w:p>
            <w:pPr>
              <w:pStyle w:val="LO-normal"/>
              <w:keepNext w:val="false"/>
              <w:keepLines w:val="false"/>
              <w:widowControl/>
              <w:numPr>
                <w:ilvl w:val="0"/>
                <w:numId w:val="8"/>
              </w:numPr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Ia inclusão em fonograma ou produção audiovisual;</w:t>
            </w:r>
          </w:p>
          <w:p>
            <w:pPr>
              <w:pStyle w:val="LO-normal"/>
              <w:keepNext w:val="false"/>
              <w:keepLines w:val="false"/>
              <w:widowControl/>
              <w:numPr>
                <w:ilvl w:val="0"/>
                <w:numId w:val="8"/>
              </w:numPr>
              <w:shd w:val="clear" w:fill="auto"/>
              <w:spacing w:lineRule="auto" w:line="240" w:before="120" w:after="120"/>
              <w:ind w:hanging="0" w:left="0" w:righ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inclusão em base de dados, o armazenamento em computador, a microfilmagem e as demais formas de arquivamento do gênero.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9.2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Quando da extinção d</w:t>
            </w:r>
            <w:r>
              <w:rPr>
                <w:rFonts w:ascii="Calibri" w:hAnsi="Calibri"/>
                <w:sz w:val="22"/>
                <w:szCs w:val="22"/>
              </w:rPr>
              <w:t>o TCC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10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10.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 PRAZO DE VIGÊNCIA</w:t>
            </w:r>
          </w:p>
        </w:tc>
      </w:tr>
      <w:tr>
        <w:trPr>
          <w:trHeight w:val="984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10.1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O prazo de vigência deste TCC 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>será de 12 (doze) meses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, contados a partir da data da assinatura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do responsável legal pelo Ponto de Cultura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, podendo ser prorrogado 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>de acordo com o item 7.2 do Edital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>,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excetuadas as prorrogações de ofício por atraso na liberação dos recursos.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11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11.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 RESCISÃO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11.1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É facultado ao Ente Público e </w:t>
            </w:r>
            <w:r>
              <w:rPr>
                <w:rFonts w:ascii="Calibri" w:hAnsi="Calibri"/>
                <w:sz w:val="22"/>
                <w:szCs w:val="22"/>
              </w:rPr>
              <w:t>à entidade cultural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11.2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O Ente Público deverá rescindir este TCC caso seja cancelada a certificação simplificada do Ponto de Cultura, respeitados os atos jurídicos perfeitos, na forma do art. 11 da Instrução Normativa/MinC n.° 8/2016.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11.3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11.4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Havendo rescisão, </w:t>
            </w:r>
            <w:r>
              <w:rPr>
                <w:rFonts w:ascii="Calibri" w:hAnsi="Calibri"/>
                <w:sz w:val="22"/>
                <w:szCs w:val="22"/>
              </w:rPr>
              <w:t>a entidade cultural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fica </w:t>
            </w:r>
            <w:r>
              <w:rPr>
                <w:rFonts w:ascii="Calibri" w:hAnsi="Calibri"/>
                <w:sz w:val="22"/>
                <w:szCs w:val="22"/>
              </w:rPr>
              <w:t>obrigada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a prestar contas de tudo que fora executado até a data da rescisão, observado o prazo e regras da Seção 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12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12..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 PUBLICAÇÃO</w:t>
            </w:r>
          </w:p>
        </w:tc>
      </w:tr>
      <w:tr>
        <w:trPr>
          <w:trHeight w:val="851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13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13.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DO FORO</w:t>
            </w:r>
          </w:p>
        </w:tc>
      </w:tr>
      <w:tr>
        <w:trPr>
          <w:trHeight w:val="851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 partes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</w:t>
            </w:r>
            <w:r>
              <w:rPr>
                <w:rFonts w:eastAsia="Calibri" w:cs="Calibri" w:ascii="Calibri" w:hAnsi="Calibri"/>
                <w:color w:val="auto"/>
                <w:sz w:val="22"/>
                <w:szCs w:val="22"/>
              </w:rPr>
              <w:t>tiça de Piracicaba – SP.</w:t>
            </w:r>
          </w:p>
        </w:tc>
      </w:tr>
    </w:tbl>
    <w:p>
      <w:pPr>
        <w:pStyle w:val="LO-normal"/>
        <w:ind w:hanging="2"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14"/>
        <w:tblW w:w="9972" w:type="dxa"/>
        <w:jc w:val="left"/>
        <w:tblInd w:w="107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val="0600"/>
      </w:tblPr>
      <w:tblGrid>
        <w:gridCol w:w="4811"/>
        <w:gridCol w:w="5160"/>
      </w:tblGrid>
      <w:tr>
        <w:trPr>
          <w:trHeight w:val="525" w:hRule="atLeast"/>
        </w:trPr>
        <w:tc>
          <w:tcPr>
            <w:tcW w:w="9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9D9D9" w:val="clear"/>
          </w:tcPr>
          <w:p>
            <w:pPr>
              <w:pStyle w:val="LO-normal"/>
              <w:keepNext w:val="false"/>
              <w:keepLines w:val="false"/>
              <w:widowControl/>
              <w:shd w:val="clear" w:fill="auto"/>
              <w:spacing w:lineRule="auto" w:line="240" w:before="120" w:after="120"/>
              <w:ind w:hanging="0" w:left="0" w:righ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14.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E ASSINATURAS</w:t>
            </w:r>
          </w:p>
        </w:tc>
      </w:tr>
      <w:tr>
        <w:trPr>
          <w:trHeight w:val="851" w:hRule="atLeast"/>
        </w:trPr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E, por assim estarem plenamente de acordo, </w:t>
            </w:r>
            <w:r>
              <w:rPr>
                <w:rFonts w:ascii="Calibri" w:hAnsi="Calibri"/>
                <w:sz w:val="22"/>
                <w:szCs w:val="22"/>
              </w:rPr>
              <w:t>as partes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 obrigam-se ao total cumprimento dos termos do presente instrumento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>
        <w:trPr>
          <w:trHeight w:val="851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spacing w:lineRule="auto" w:line="240" w:before="120" w:after="120"/>
              <w:ind w:hanging="0"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(</w:t>
            </w:r>
            <w:r>
              <w:rPr>
                <w:rFonts w:eastAsia="Calibri" w:cs="Calibri" w:ascii="Calibri" w:hAnsi="Calibri"/>
                <w:i/>
                <w:sz w:val="22"/>
                <w:szCs w:val="22"/>
              </w:rPr>
              <w:t>assinado eletronicamente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)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Carlos Alberto Lordello Beltrame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Secretário Municipal d</w:t>
            </w:r>
            <w:r>
              <w:rPr>
                <w:rFonts w:eastAsia="Calibri" w:cs="Calibri" w:ascii="Calibri" w:hAnsi="Calibri"/>
                <w:sz w:val="22"/>
                <w:szCs w:val="22"/>
              </w:rPr>
              <w:t xml:space="preserve">e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Cultura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  <w:right w:w="108" w:type="dxa"/>
            </w:tcMar>
          </w:tcPr>
          <w:p>
            <w:pPr>
              <w:pStyle w:val="LO-normal"/>
              <w:spacing w:lineRule="auto" w:line="240" w:before="120" w:after="120"/>
              <w:ind w:hanging="0"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(</w:t>
            </w:r>
            <w:r>
              <w:rPr>
                <w:rFonts w:eastAsia="Calibri" w:cs="Calibri" w:ascii="Calibri" w:hAnsi="Calibri"/>
                <w:i/>
                <w:sz w:val="22"/>
                <w:szCs w:val="22"/>
              </w:rPr>
              <w:t>assinado eletronicamente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)</w:t>
            </w:r>
          </w:p>
          <w:p>
            <w:pPr>
              <w:pStyle w:val="LO-normal"/>
              <w:spacing w:lineRule="auto" w:line="240" w:before="120" w:after="120"/>
              <w:ind w:hanging="0"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Representante legal do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Ponto de Cultura</w:t>
            </w:r>
          </w:p>
        </w:tc>
      </w:tr>
    </w:tbl>
    <w:p>
      <w:pPr>
        <w:pStyle w:val="LO-normal"/>
        <w:spacing w:lineRule="auto" w:line="240" w:before="120" w:after="120"/>
        <w:ind w:hanging="0" w:left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Piracicaba, _____ de _________ de _______.</w:t>
      </w:r>
    </w:p>
    <w:p>
      <w:pPr>
        <w:pStyle w:val="textojustificado"/>
        <w:widowControl/>
        <w:suppressAutoHyphens w:val="true"/>
        <w:bidi w:val="0"/>
        <w:spacing w:lineRule="auto" w:line="360" w:beforeAutospacing="0" w:before="0" w:afterAutospacing="0" w:after="0"/>
        <w:ind w:hanging="0" w:left="0"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eastAsia="Calibri" w:cs="Calibri"/>
          <w:b/>
          <w:bCs/>
          <w:color w:val="000000"/>
        </w:rPr>
      </w:pPr>
      <w:r>
        <w:rPr>
          <w:rFonts w:ascii="Calibri" w:hAnsi="Calibri"/>
          <w:b/>
          <w:strike w:val="false"/>
          <w:dstrike w:val="false"/>
          <w:color w:val="000000"/>
          <w:sz w:val="22"/>
          <w:szCs w:val="22"/>
          <w:u w:val="none"/>
          <w:effect w:val="none"/>
          <w:lang w:val="pt-BR"/>
        </w:rPr>
      </w:r>
    </w:p>
    <w:p>
      <w:pPr>
        <w:pStyle w:val="LO-normal"/>
        <w:widowControl w:val="false"/>
        <w:spacing w:lineRule="auto" w:line="240" w:before="240" w:after="120"/>
        <w:ind w:hanging="2" w:left="0"/>
        <w:jc w:val="left"/>
        <w:rPr>
          <w:rFonts w:eastAsia="Calibri" w:cs="Calibri"/>
          <w:color w:val="auto"/>
          <w:lang w:val="pt-BR"/>
        </w:rPr>
      </w:pPr>
      <w:r>
        <w:rPr>
          <w:rFonts w:ascii="Calibri" w:hAnsi="Calibri"/>
          <w:sz w:val="22"/>
          <w:szCs w:val="22"/>
        </w:rPr>
      </w:r>
    </w:p>
    <w:sectPr>
      <w:headerReference w:type="even" r:id="rId18"/>
      <w:headerReference w:type="default" r:id="rId19"/>
      <w:headerReference w:type="first" r:id="rId20"/>
      <w:footerReference w:type="even" r:id="rId21"/>
      <w:footerReference w:type="default" r:id="rId22"/>
      <w:footerReference w:type="first" r:id="rId23"/>
      <w:type w:val="nextPage"/>
      <w:pgSz w:w="11906" w:h="16838"/>
      <w:pgMar w:left="1173" w:right="1037" w:gutter="0" w:header="720" w:top="1440" w:footer="680" w:bottom="1185"/>
      <w:pgNumType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variable"/>
  </w:font>
  <w:font w:name="Calibri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7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8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7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user">
    <w:name w:val="Conteúdo da lista (user)"/>
    <w:basedOn w:val="Normal"/>
    <w:qFormat/>
    <w:pPr>
      <w:ind w:left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extocentralizado">
    <w:name w:val="texto_centraliz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1">
    <w:name w:val="normal1"/>
    <w:qFormat/>
    <w:pPr>
      <w:widowControl/>
      <w:bidi w:val="0"/>
      <w:spacing w:lineRule="auto" w:line="259" w:before="0" w:after="160"/>
      <w:ind w:hanging="1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lanalto.gov.br/ccivil_03/_ato2019-2022/2022/lei/l14399.htm" TargetMode="External"/><Relationship Id="rId3" Type="http://schemas.openxmlformats.org/officeDocument/2006/relationships/hyperlink" Target="https://www.planalto.gov.br/ccivil_03/_ato2023-2026/2023/decreto/D11740.htm" TargetMode="External"/><Relationship Id="rId4" Type="http://schemas.openxmlformats.org/officeDocument/2006/relationships/hyperlink" Target="https://www.planalto.gov.br/ccivil_03/_ato2023-2026/2023/decreto/D11740.htm" TargetMode="External"/><Relationship Id="rId5" Type="http://schemas.openxmlformats.org/officeDocument/2006/relationships/hyperlink" Target="https://www.in.gov.br/web/dou/-/portaria-minc-n-200-de-11-de-abril-de-2025-623760804" TargetMode="External"/><Relationship Id="rId6" Type="http://schemas.openxmlformats.org/officeDocument/2006/relationships/hyperlink" Target="https://www.in.gov.br/web/dou/-/portaria-minc-n-80-de-27-de-outubro-de-2023-519652245" TargetMode="External"/><Relationship Id="rId7" Type="http://schemas.openxmlformats.org/officeDocument/2006/relationships/hyperlink" Target="https://www.in.gov.br/en/web/dou/-/portaria-minc-n-206-de-13-de-maio-de-2025-629208189" TargetMode="External"/><Relationship Id="rId8" Type="http://schemas.openxmlformats.org/officeDocument/2006/relationships/hyperlink" Target="https://www.in.gov.br/web/dou/-/portaria-minc-n-80-de-27-de-outubro-de-2023-519652245" TargetMode="External"/><Relationship Id="rId9" Type="http://schemas.openxmlformats.org/officeDocument/2006/relationships/hyperlink" Target="https://www.planalto.gov.br/ccivil_03/_ato2011-2014/2014/lei/l13018.htm" TargetMode="External"/><Relationship Id="rId10" Type="http://schemas.openxmlformats.org/officeDocument/2006/relationships/hyperlink" Target="https://www.planalto.gov.br/ccivil_03/_ato2011-2014/2014/lei/l13018.htm" TargetMode="External"/><Relationship Id="rId11" Type="http://schemas.openxmlformats.org/officeDocument/2006/relationships/hyperlink" Target="https://www.gov.br/cultura/pt-br/acesso-a-informacao/legislacao-e-normativas/instrucao-normativa-minc-no-1-de-7-de-abril-de-2015-1" TargetMode="External"/><Relationship Id="rId12" Type="http://schemas.openxmlformats.org/officeDocument/2006/relationships/hyperlink" Target="https://www.gov.br/cultura/pt-br/acesso-a-informacao/legislacao-e-normativas/instrucao-normativa-minc-no-1-de-7-de-abril-de-2015-1" TargetMode="External"/><Relationship Id="rId13" Type="http://schemas.openxmlformats.org/officeDocument/2006/relationships/hyperlink" Target="https://www.in.gov.br/en/web/dou/-/instrucao-normativa-minc-n-12-de-28-de-maio-de-2024-562732255" TargetMode="External"/><Relationship Id="rId14" Type="http://schemas.openxmlformats.org/officeDocument/2006/relationships/hyperlink" Target="https://www.in.gov.br/en/web/dou/-/instrucao-normativa-minc-n-12-de-28-de-maio-de-2024-562732255" TargetMode="External"/><Relationship Id="rId15" Type="http://schemas.openxmlformats.org/officeDocument/2006/relationships/hyperlink" Target="https://www.planalto.gov.br/ccivil_03/_ato2023-2026/2023/decreto/D11453.htm" TargetMode="External"/><Relationship Id="rId16" Type="http://schemas.openxmlformats.org/officeDocument/2006/relationships/hyperlink" Target="https://www.planalto.gov.br/ccivil_03/_ato2023-2026/2023/decreto/D11453.htm" TargetMode="External"/><Relationship Id="rId17" Type="http://schemas.openxmlformats.org/officeDocument/2006/relationships/hyperlink" Target="https://www.planalto.gov.br/ccivil_03/_ato2023-2026/2024/lei/L14903.htm" TargetMode="External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header" Target="header3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oter" Target="footer3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3437</TotalTime>
  <Application>LibreOffice/24.8.6.2$Windows_X86_64 LibreOffice_project/6d98ba145e9a8a39fc57bcc76981d1fb1316c60c</Application>
  <AppVersion>15.0000</AppVersion>
  <Pages>9</Pages>
  <Words>3535</Words>
  <Characters>19840</Characters>
  <CharactersWithSpaces>23426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2026-03-30T11:44:12Z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